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13 201 vom 10. Juli 2014</w:t>
      </w:r>
    </w:p>
    <w:p>
      <w:r>
        <w:t>VS Kantonsgericht, 2014-07-10, FR</w:t>
      </w:r>
    </w:p>
    <w:p>
      <w:r>
        <w:rPr>
          <w:b/>
        </w:rPr>
        <w:t xml:space="preserve">Quelle: </w:t>
      </w:r>
      <w:r>
        <w:t>https://mcp.opencaselaw.ch/entscheid/vs_gerichte_P3 13 201</w:t>
      </w:r>
    </w:p>
    <w:p>
      <w:r>
        <w:t>FR: VS_GERICHTE P3 13 201 du 10 juillet 2014</w:t>
      </w:r>
    </w:p>
    <w:p>
      <w:r>
        <w:t>IT: VS_GERICHTE P3 13 201 del 10 luglio 2014</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de l’internement et constatant la non-réunion des conditions d’un traitement thérapeutique institutionnel (art. 20 al. 3 LOJ et 13 al. 1 et 39 al. 2 let. b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w:t>
      </w:r>
    </w:p>
    <w:p>
      <w:r>
        <w:rPr>
          <w:b/>
        </w:rPr>
        <w:t>E. 1.2</w:t>
      </w:r>
    </w:p>
    <w:p>
      <w:r>
        <w:t>En l’espèce, le recourant a qualité pour recourir, dès lors qu’il a un intérêt juridiquement protégé à l’annulation de l’ordonnance refusant sa libération conditionnelle de l’internement et constatant la non-réunion des conditions d’un traitement thérapeutique institutionnel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recours, le recourant demande, à titre de preuve complémentaire, l’édition par le service de la population et des migrations de sa décision d’expulsion.</w:t>
      </w:r>
    </w:p>
    <w:p>
      <w:r>
        <w:rPr>
          <w:b/>
        </w:rPr>
        <w:t>E. 2.1</w:t>
      </w:r>
    </w:p>
    <w:p>
      <w:r>
        <w:t>La procédure de recours se fonde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1154, qui précise qu’une réserve marquée doit être appliquée).</w:t>
      </w:r>
    </w:p>
    <w:p>
      <w:r>
        <w:rPr>
          <w:b/>
        </w:rPr>
        <w:t>E. 2.2</w:t>
      </w:r>
    </w:p>
    <w:p>
      <w:r>
        <w:t>En l’occurrence, les dossiers P2 09 100, P2 12 109 et P2 13 424 remis par le juge de l’application des peines et mesures renseignent suffisamment sur les faits utiles à la solution du recours, comme cela résulte de ce qui suit. Il n’y a donc pas lieu d’administrer la preuve complémentaire demandée par le recourant, d’autant qu’une décision administrative d’expulsion ne prime de toute façon pas un jugement pénal de condamnation, comme on va le voir.</w:t>
      </w:r>
    </w:p>
    <w:p>
      <w:r>
        <w:t>- 7 -</w:t>
      </w:r>
    </w:p>
    <w:p>
      <w:r>
        <w:rPr>
          <w:b/>
        </w:rPr>
        <w:t>E. 3</w:t>
      </w:r>
    </w:p>
    <w:p>
      <w:r>
        <w:t>3.1.1 Aux termes de l’art. 64b al. 1 let. b CP, l’autorité compétente examine, d’office ou sur demande, au moins une fois tous les deux ans et pour la première fois avant le début de l’internement, si les conditions d’un traitement thérapeutique institutionnel sont réunies et si une demande en ce sens doit être faite auprès du juge compétent.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(art. 65 al. 1 CP). Un traitement thérapeutique institutionnel peut être ordonné en faveur d’une personne souffrant d’un grave trouble mental si elle a commis un crime ou un délit en relation avec ce trouble et s’il est à prévoir que cette mesure la détournera de nouvelles infractions en relation avec ce trouble (art. 59 al. 1 let. a et b CP). En présence d’un trouble psychiatrique, l’internement constitue, conformément au principe de proportionnalité consacré par l’art. 56 al. 2 CP, une mesure subsidiaire par rapport à une mesure institutionnelle prévue par l’art. 59 CP. En tant qu’ultima ratio, en raison de la gravité de l’atteinte à la liberté personnelle qu’il représente, l’internement n’entre ainsi pas en considération tant que la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(ATF 134 IV 315 consid. 3.2 et 3.3 ; 134 IV 121 consid. 3.4.2).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(arrêts 6B_826/2013 du 12 décembre 2013 consid. 3.3 ; 6B_978/2010 du 1er septembre 2011 consid. 3.1.2 et les références citées). L’autorité compétente examine si les conditions d’un traitement thérapeutique institutionnel, remplaçant l’internement prononcé, sont réunies en se fondant sur un rapport de la direction de l’établissement, une expertise indépendante au sens de l’art. 56 al. 4 CP, ainsi que l’audition d’une commission au sens de l’art. 62d al. 2 CP et de l’auteur (art. 64b al. 2 CP). L’expertise doit se déterminer sur la nécessité et les</w:t>
      </w:r>
    </w:p>
    <w:p>
      <w:r>
        <w:t>- 8 - chances de succès d’un traitement, la vraisemblance que l’auteur commette d’autres infractions, la nature de celle-ci et les possibilités de faire exécuter la mesure (art. 56 al. 3 CP ; arrêts 6B_826/2013 du 12 décembre 2013 consid. 3.4 ; 6B_212/2013 du 3 juin 2013 consid. 3 ; 6B_978/2010 du 1er septembre 2011 consid. 3.1.3). En matière de pronostic, le principe « in dubio pro reo » ne s’applique pas (ATF 127 IV 1 consid. 2a ; 118 IV 108 consid. 2a ; arrêt 6B_978/2010 du 1er septembre 2011 consid. 3.1.4). 3.1.2 Selon la jurisprudence constante,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(ATF 134 IV 246 consid. 4.3 ; 128 IV 241 consid. 3.4).</w:t>
      </w:r>
    </w:p>
    <w:p>
      <w:r>
        <w:rPr>
          <w:b/>
        </w:rPr>
        <w:t>E. 3.2</w:t>
      </w:r>
    </w:p>
    <w:p>
      <w:r>
        <w:t>En l’espèce, il ressort du rapport de la direction des Etablissements de G_________ de juin 2013, intitulé « Bilan de phase 1 et proposition de la suite du plan d’exécution de sanctions », que le recourant, même s’il est poli, même s’il n’a jamais été sanctionné disciplinairement, même s’il respecte les règles de l’institution, en ne consommant ni alcool ni drogues, et même si aucun acte agressif, tant verbal que physique, n’est à observer : - démontre, par sa conduite, qu’il ne gère pas ses émotions ; - présente de la difficulté à exprimer une empathie sincère envers sa victime ; - manifeste toujours des comportements provocateurs, à caractère sexuel notamment, envers ses codétenus ; - n’a pas évolué dans sa manière de percevoir les choses depuis son passage à l’acte ; - demeure une personne impulsive, qui gère difficilement la frustration ; - pourrait aisément et facilement se mettre en colère pour des raisons futiles ; - n’a pas conscience de ses fragilités ; - a les mains constamment dans ses poches pour se stimuler sexuellement ; - peut se montrer totalement désinhibé envers ses codétenus ; - n’a pas réalisé de travail introspectif sur ses consommations d’alcool ; et, - n’a aucune volonté à s’inscrire dans une dynamique de changement. Quant au rapport du service médical des Etablissements de G_________ du 18 juin 2013, il renseigne que, si le recourant bénéficie d’un suivi psychothérapeutique de soutien régulier depuis plusieurs mois, l’alliance reste cependant encore fragile. En effet, il peine à prendre en compte l’avis des thérapeutes, pouvant parfois se montrer projectif ou brandir la menace d’interrompre le suivi. De même, il refuse actuellement tout traitement neuroleptique, alors qu’un tel traitement pourrait probablement diminuer son sentiment de persécution.</w:t>
      </w:r>
    </w:p>
    <w:p>
      <w:r>
        <w:t>- 9 - Dans ces conditions, nonobstant les dénégations faites par le recourant dans son recours et lors de son audition du 26 septembre 2013, force est d’estimer que sa situation ne s’est pas modifiée depuis que le Dr E_________ et le psychologue F_________ ont rendu leur rapport d’expertise médico-légale, le 13 janvier 2010. Le juge de l’application des peines et mesures pouvait donc sans autre se fonder sur ladite expertise, quand bien même elle remontait à trois ans et demi, d’autant qu’il est tout à fait possible, selon la jurisprudence, de se baser sur une expertise établie huit années auparavant (arrêt 6B_555/2008 du 23 septembre 2008 consid. 1.3.2 et l’arrêt cité), voire douze (arrêt 6B_418/2009 du 21 octobre 2009 consid. 1.4.2). Sur le fond, la constatation faite par le juge de l’application des peines et mesures, selon laquelle les conditions d’un traitement thérapeutique institutionnel ne sont pas réunies, résiste pleinement à l’examen. En effet, ni le rapport du service médical des Etablissements de G_________ du 18 juin 2013, ni ceux de sa direction de juin 2013 et du 12 septembre suivant ne concluent, ni n’évoquent d’ailleurs, qu’il est suffisamment vraisemblable qu’un traitement institutionnel entraînera, dans les cinq ans de sa durée normale, une réduction nette du risque que le recourant commette, en raison de son trouble mental, un crime prévu à l’art. 64 CP. Quant au Tribunal fédéral, il a déjà retenu en droit, dans son arrêt du 1er septembre 2011, que le rapport d’expertise médico-légale du 13 janvier 2010, même considéré seul, ne permettait pas de prévoir qu’un traitement institutionnel réduira de manière nette le risque que le recourant récidive. Il s’ensuit le rejet du recours, étant rappelé que le principe « in dubio pro reo » ne s’applique pas en matière de pronostic et que le seul fait que l’intéressé soit désireux et apte à suivre un traitement institutionnel ne suffit pas à éviter le maintien de l’internement. En tout état de cause, faute de base légale, le recourant ne saurait être libéré du seul fait qu’il a reçu une décision d’expulsion aujourd’hui entrée en force. A l’évidence, l’exécution d’une peine ou d’une mesure prononcée au pénal prime l’expulsion administrative, sans quoi il faudrait parfois relâcher de dangereux criminels, sans que l’on distingue au demeurant quel obstacle insurmontable pourrait les empêcher de revenir ensuite en Suisse. Au surplus, l’éventuel transfèrement du recourant de la Suisse vers la B_________ n’étant pas de la compétence du juge de l’application des peines et mesures (cf. art. 5 ch. 2 de la Convention du 21 mars 1983 sur le transfèrement des personnes condamnées a contrario ; RS 0.343), ce dernier n’avait pas à examiner le bien-fondé de sa demande. Enfin, au vu de la gravité de l’infraction pour laquelle le recourant a été condamné, soit le viol avec cruauté (art. 190 al. 3 CP), de la haute valeur du bien juridique en cause, à savoir l’intégrité sexuelle, et du risque toujours élevé de récidive, il apparaît que l’atteinte au droit du recourant à la liberté est encore largement proportionnée, même s’il est incarcéré depuis huit ans, alors qu’il n’a été condamné qu’à quatre ans de réclusion (arrêts 6B_826/2013 du 12 décembre 2013 consid. 2.8, 2.8.1 et 2.8.2 ; 6B_109/2013 du 19 juillet 2013 consid. 4.4.1, 4.4.2, 4.4.3 et 4.4.4 et les références citées).</w:t>
      </w:r>
    </w:p>
    <w:p>
      <w:r>
        <w:t>- 10 -</w:t>
      </w:r>
    </w:p>
    <w:p>
      <w:r>
        <w:rPr>
          <w:b/>
        </w:rPr>
        <w:t>E. 4</w:t>
      </w:r>
    </w:p>
    <w:p>
      <w:r>
        <w:t>La présente ordonnance est communiquée aux parties.</w:t>
      </w:r>
    </w:p>
    <w:p>
      <w:r>
        <w:t>Sion, le 28 février 2014</w:t>
      </w:r>
    </w:p>
    <w:p>
      <w:r>
        <w:rPr>
          <w:b/>
        </w:rPr>
        <w:t>E. 4.1</w:t>
      </w:r>
    </w:p>
    <w:p>
      <w:r>
        <w:t>Comme l’assistance judiciaire gratuite a été accordée au recourant, avec effet dès le 3 juin 2013, il est exonéré des frais de la procédure de recours, qui sont donc mis à la charge de l’Etat du Valais (art. 136 al. 2 let. b CPP par analogie ; Harari/Aliberti, Commentaire romand,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moyenne de l’affaire, il est arrêté forfaitairement à 800 fr. (art. 424 al. 2 CPP et 11 LTar).</w:t>
      </w:r>
    </w:p>
    <w:p>
      <w:r>
        <w:rPr>
          <w:b/>
        </w:rPr>
        <w:t>E. 4.2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6B_445/2013 du 14 janvier 2014 consid. 10.5 ;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moyenne de l’affaire et des prestations utiles de Me A_________, auteur d’un recours motivé et d’une brève lettre, son indemnité réduite est arrêtée à 800 fr., débours compris.</w:t>
      </w:r>
    </w:p>
    <w:p>
      <w:r>
        <w:t>- 11 - Prononce</w:t>
      </w:r>
    </w:p>
    <w:p>
      <w:r>
        <w:t>1. Le recours est rejeté. 2. Les frais de la procédure de recours sont mis pour 800 fr. à la charge de l’Etat du Valais, au titre de l’assistance judiciaire gratuite accordée à X_________. 3. L’Etat du Valais versera à Me A_________ une indemnité réduite de 800 fr.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